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C583" w14:textId="77777777" w:rsidR="004C6424" w:rsidRPr="0007430E" w:rsidRDefault="004C6424" w:rsidP="004C6424">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07430E">
        <w:rPr>
          <w:b/>
          <w:color w:val="000000"/>
          <w:sz w:val="20"/>
          <w:szCs w:val="20"/>
        </w:rPr>
        <w:t>1S-2.027</w:t>
      </w:r>
      <w:r w:rsidRPr="0007430E">
        <w:rPr>
          <w:sz w:val="20"/>
          <w:szCs w:val="20"/>
        </w:rPr>
        <w:t xml:space="preserve"> </w:t>
      </w:r>
      <w:r w:rsidRPr="0007430E">
        <w:rPr>
          <w:b/>
          <w:noProof/>
          <w:color w:val="000000"/>
          <w:sz w:val="20"/>
          <w:szCs w:val="20"/>
        </w:rPr>
        <w:t xml:space="preserve">Standards for Determining Voter’s </w:t>
      </w:r>
      <w:r w:rsidRPr="004D1F73">
        <w:rPr>
          <w:b/>
          <w:noProof/>
          <w:color w:val="000000"/>
          <w:sz w:val="20"/>
          <w:szCs w:val="20"/>
          <w:u w:val="single"/>
        </w:rPr>
        <w:t>Intent</w:t>
      </w:r>
      <w:r>
        <w:rPr>
          <w:b/>
          <w:noProof/>
          <w:color w:val="000000"/>
          <w:sz w:val="20"/>
          <w:szCs w:val="20"/>
        </w:rPr>
        <w:t xml:space="preserve"> </w:t>
      </w:r>
      <w:r w:rsidRPr="004D1F73">
        <w:rPr>
          <w:b/>
          <w:strike/>
          <w:noProof/>
          <w:color w:val="000000"/>
          <w:sz w:val="20"/>
          <w:szCs w:val="20"/>
        </w:rPr>
        <w:t>Choice</w:t>
      </w:r>
      <w:r w:rsidRPr="0007430E">
        <w:rPr>
          <w:b/>
          <w:noProof/>
          <w:color w:val="000000"/>
          <w:sz w:val="20"/>
          <w:szCs w:val="20"/>
        </w:rPr>
        <w:t xml:space="preserve"> on a Ballot.</w:t>
      </w:r>
    </w:p>
    <w:p w14:paraId="54390084" w14:textId="2A76D18A" w:rsidR="004C6424" w:rsidRDefault="004C6424" w:rsidP="004C6424">
      <w:pPr>
        <w:widowControl w:val="0"/>
        <w:overflowPunct w:val="0"/>
        <w:autoSpaceDE w:val="0"/>
        <w:autoSpaceDN w:val="0"/>
        <w:adjustRightInd w:val="0"/>
        <w:spacing w:line="260" w:lineRule="atLeast"/>
        <w:ind w:firstLine="360"/>
        <w:jc w:val="both"/>
        <w:textAlignment w:val="baseline"/>
        <w:rPr>
          <w:noProof/>
          <w:color w:val="000000"/>
          <w:sz w:val="20"/>
          <w:szCs w:val="20"/>
          <w:u w:val="single"/>
        </w:rPr>
      </w:pPr>
      <w:r w:rsidRPr="0007430E">
        <w:rPr>
          <w:sz w:val="20"/>
          <w:szCs w:val="20"/>
        </w:rPr>
        <w:t xml:space="preserve">(1) </w:t>
      </w:r>
      <w:r w:rsidRPr="00CC2AD1">
        <w:rPr>
          <w:noProof/>
          <w:color w:val="000000"/>
          <w:sz w:val="20"/>
          <w:szCs w:val="20"/>
          <w:u w:val="single"/>
        </w:rPr>
        <w:t>The Department of State, Division of Elections, is required to adopt by rule standards for determining a voter’s choice on a ballot under prescribed circumstances</w:t>
      </w:r>
      <w:r>
        <w:rPr>
          <w:noProof/>
          <w:color w:val="000000"/>
          <w:sz w:val="20"/>
          <w:szCs w:val="20"/>
          <w:u w:val="single"/>
        </w:rPr>
        <w:t xml:space="preserve"> for ballot duplication under section 101.561</w:t>
      </w:r>
      <w:r w:rsidR="00A63B03">
        <w:rPr>
          <w:noProof/>
          <w:color w:val="000000"/>
          <w:sz w:val="20"/>
          <w:szCs w:val="20"/>
          <w:u w:val="single"/>
        </w:rPr>
        <w:t>4</w:t>
      </w:r>
      <w:r>
        <w:rPr>
          <w:noProof/>
          <w:color w:val="000000"/>
          <w:sz w:val="20"/>
          <w:szCs w:val="20"/>
          <w:u w:val="single"/>
        </w:rPr>
        <w:t xml:space="preserve">, recounts under section 102.166, F.S., and post-election voting system audit under s. 101.591, F.S., and other scenarios in which a determination of voter intent is required. </w:t>
      </w:r>
      <w:r w:rsidRPr="00CC2AD1">
        <w:rPr>
          <w:noProof/>
          <w:color w:val="000000"/>
          <w:sz w:val="20"/>
          <w:szCs w:val="20"/>
          <w:u w:val="single"/>
        </w:rPr>
        <w:t xml:space="preserve">  Form</w:t>
      </w:r>
      <w:r w:rsidRPr="00B353E5">
        <w:rPr>
          <w:noProof/>
          <w:color w:val="000000"/>
          <w:sz w:val="20"/>
          <w:szCs w:val="20"/>
          <w:u w:val="single"/>
        </w:rPr>
        <w:t xml:space="preserve"> DS-DE </w:t>
      </w:r>
      <w:r>
        <w:rPr>
          <w:noProof/>
          <w:color w:val="000000"/>
          <w:sz w:val="20"/>
          <w:szCs w:val="20"/>
          <w:u w:val="single"/>
        </w:rPr>
        <w:t>420</w:t>
      </w:r>
      <w:r w:rsidRPr="00B353E5">
        <w:rPr>
          <w:noProof/>
          <w:color w:val="000000"/>
          <w:sz w:val="20"/>
          <w:szCs w:val="20"/>
          <w:u w:val="single"/>
        </w:rPr>
        <w:t xml:space="preserve">(effective MM/YYYY), entitled “Standards for Determing Voter’s </w:t>
      </w:r>
      <w:r>
        <w:rPr>
          <w:noProof/>
          <w:color w:val="000000"/>
          <w:sz w:val="20"/>
          <w:szCs w:val="20"/>
          <w:u w:val="single"/>
        </w:rPr>
        <w:t>Intent</w:t>
      </w:r>
      <w:r w:rsidRPr="00B353E5">
        <w:rPr>
          <w:noProof/>
          <w:color w:val="000000"/>
          <w:sz w:val="20"/>
          <w:szCs w:val="20"/>
          <w:u w:val="single"/>
        </w:rPr>
        <w:t xml:space="preserve"> on a Ballot,” </w:t>
      </w:r>
      <w:r>
        <w:rPr>
          <w:noProof/>
          <w:color w:val="000000"/>
          <w:sz w:val="20"/>
          <w:szCs w:val="20"/>
          <w:u w:val="single"/>
        </w:rPr>
        <w:t>contains the standards to be applied and is</w:t>
      </w:r>
      <w:r w:rsidRPr="00B353E5">
        <w:rPr>
          <w:noProof/>
          <w:color w:val="000000"/>
          <w:sz w:val="20"/>
          <w:szCs w:val="20"/>
          <w:u w:val="single"/>
        </w:rPr>
        <w:t xml:space="preserve"> hereby incorporated by reference and available at the following link: https://www.flrules.org/Gateway/reference.asp?No. </w:t>
      </w:r>
    </w:p>
    <w:p w14:paraId="29D59E33" w14:textId="77777777" w:rsidR="004C6424" w:rsidRDefault="004C6424" w:rsidP="004C6424">
      <w:pPr>
        <w:widowControl w:val="0"/>
        <w:overflowPunct w:val="0"/>
        <w:autoSpaceDE w:val="0"/>
        <w:autoSpaceDN w:val="0"/>
        <w:adjustRightInd w:val="0"/>
        <w:spacing w:line="260" w:lineRule="atLeast"/>
        <w:ind w:firstLine="360"/>
        <w:jc w:val="both"/>
        <w:textAlignment w:val="baseline"/>
        <w:rPr>
          <w:noProof/>
          <w:sz w:val="20"/>
          <w:szCs w:val="20"/>
          <w:u w:val="single"/>
        </w:rPr>
      </w:pPr>
      <w:r>
        <w:rPr>
          <w:noProof/>
          <w:color w:val="000000"/>
          <w:sz w:val="20"/>
          <w:szCs w:val="20"/>
        </w:rPr>
        <w:t xml:space="preserve">(2)  </w:t>
      </w:r>
      <w:r w:rsidRPr="00B353E5">
        <w:rPr>
          <w:noProof/>
          <w:color w:val="000000"/>
          <w:sz w:val="20"/>
          <w:szCs w:val="20"/>
          <w:u w:val="single"/>
        </w:rPr>
        <w:t xml:space="preserve">The form is also available from the Division of Elections, R.A. Gray Building, Room 316, 500 South Bronough Street, Tallahassee, Florida 32399-0250, by contact at (850)245-6200, or by download from the Division of Elections’ rules webpage at: </w:t>
      </w:r>
      <w:hyperlink r:id="rId7" w:history="1">
        <w:r w:rsidRPr="00DF17B2">
          <w:rPr>
            <w:rStyle w:val="Hyperlink"/>
            <w:noProof/>
            <w:sz w:val="20"/>
            <w:szCs w:val="20"/>
          </w:rPr>
          <w:t>https://dos.fl.gov/elections/</w:t>
        </w:r>
      </w:hyperlink>
      <w:r w:rsidRPr="00B353E5">
        <w:rPr>
          <w:noProof/>
          <w:sz w:val="20"/>
          <w:szCs w:val="20"/>
          <w:u w:val="single"/>
        </w:rPr>
        <w:t>.</w:t>
      </w:r>
      <w:r>
        <w:rPr>
          <w:noProof/>
          <w:sz w:val="20"/>
          <w:szCs w:val="20"/>
          <w:u w:val="single"/>
        </w:rPr>
        <w:t xml:space="preserve"> </w:t>
      </w:r>
    </w:p>
    <w:p w14:paraId="0322C0A1" w14:textId="77777777" w:rsidR="004C6424" w:rsidRPr="00CC2AD1" w:rsidRDefault="004C6424" w:rsidP="004C6424">
      <w:pPr>
        <w:widowControl w:val="0"/>
        <w:overflowPunct w:val="0"/>
        <w:autoSpaceDE w:val="0"/>
        <w:autoSpaceDN w:val="0"/>
        <w:adjustRightInd w:val="0"/>
        <w:spacing w:line="260" w:lineRule="atLeast"/>
        <w:ind w:firstLine="360"/>
        <w:jc w:val="both"/>
        <w:textAlignment w:val="baseline"/>
        <w:rPr>
          <w:strike/>
          <w:sz w:val="20"/>
          <w:szCs w:val="20"/>
        </w:rPr>
      </w:pPr>
      <w:r w:rsidRPr="00CC2AD1">
        <w:rPr>
          <w:b/>
          <w:strike/>
          <w:sz w:val="20"/>
          <w:szCs w:val="20"/>
        </w:rPr>
        <w:t>Application</w:t>
      </w:r>
      <w:r w:rsidRPr="00CC2AD1">
        <w:rPr>
          <w:strike/>
          <w:sz w:val="20"/>
          <w:szCs w:val="20"/>
        </w:rPr>
        <w:t xml:space="preserve">. The standards in this rule apply to determine whether the voter has clearly indicated a definite choice for purposes of counting a vote cast on a ballot </w:t>
      </w:r>
      <w:r>
        <w:rPr>
          <w:strike/>
          <w:sz w:val="20"/>
          <w:szCs w:val="20"/>
        </w:rPr>
        <w:t>a</w:t>
      </w:r>
      <w:r w:rsidRPr="00CC2AD1">
        <w:rPr>
          <w:strike/>
          <w:sz w:val="20"/>
          <w:szCs w:val="20"/>
        </w:rPr>
        <w:t>nd  in a manual recount as provided specifically by section 102.166, F.S.</w:t>
      </w:r>
      <w:r w:rsidRPr="00CC2AD1">
        <w:rPr>
          <w:strike/>
          <w:noProof/>
          <w:color w:val="000000"/>
          <w:sz w:val="20"/>
          <w:szCs w:val="20"/>
          <w:u w:val="single"/>
        </w:rPr>
        <w:t xml:space="preserve"> </w:t>
      </w:r>
    </w:p>
    <w:p w14:paraId="67449982" w14:textId="77777777" w:rsidR="004C6424" w:rsidRPr="00CC2AD1" w:rsidRDefault="004C6424" w:rsidP="004C6424">
      <w:pPr>
        <w:spacing w:line="260" w:lineRule="atLeast"/>
        <w:ind w:firstLine="360"/>
        <w:jc w:val="both"/>
        <w:rPr>
          <w:strike/>
          <w:sz w:val="20"/>
          <w:szCs w:val="20"/>
        </w:rPr>
      </w:pPr>
      <w:r w:rsidRPr="00CC2AD1">
        <w:rPr>
          <w:strike/>
          <w:sz w:val="20"/>
          <w:szCs w:val="20"/>
        </w:rPr>
        <w:t xml:space="preserve">(2)  </w:t>
      </w:r>
      <w:r w:rsidRPr="00CC2AD1">
        <w:rPr>
          <w:b/>
          <w:strike/>
          <w:sz w:val="20"/>
          <w:szCs w:val="20"/>
        </w:rPr>
        <w:t>Direct recording electronic voting system</w:t>
      </w:r>
    </w:p>
    <w:p w14:paraId="4DC1F2D6" w14:textId="77777777" w:rsidR="004C6424" w:rsidRPr="00CC2AD1" w:rsidRDefault="004C6424" w:rsidP="004C6424">
      <w:pPr>
        <w:spacing w:line="260" w:lineRule="atLeast"/>
        <w:ind w:firstLine="360"/>
        <w:jc w:val="both"/>
        <w:rPr>
          <w:strike/>
          <w:sz w:val="20"/>
          <w:szCs w:val="20"/>
        </w:rPr>
      </w:pPr>
      <w:r w:rsidRPr="00CC2AD1">
        <w:rPr>
          <w:strike/>
          <w:sz w:val="20"/>
          <w:szCs w:val="20"/>
        </w:rPr>
        <w:t>(a) A vote cast on this voting system is valid for a particular candidate, issue choice, or judicial retention choice when the voter marks the ballot electronically as specified in the ballot instructions.</w:t>
      </w:r>
    </w:p>
    <w:p w14:paraId="248DC7B9" w14:textId="77777777" w:rsidR="004C6424" w:rsidRPr="00CC2AD1" w:rsidRDefault="004C6424" w:rsidP="004C6424">
      <w:pPr>
        <w:spacing w:line="260" w:lineRule="atLeast"/>
        <w:ind w:firstLine="360"/>
        <w:jc w:val="both"/>
        <w:rPr>
          <w:strike/>
          <w:sz w:val="20"/>
          <w:szCs w:val="20"/>
        </w:rPr>
      </w:pPr>
      <w:r w:rsidRPr="00CC2AD1">
        <w:rPr>
          <w:strike/>
          <w:sz w:val="20"/>
          <w:szCs w:val="20"/>
        </w:rPr>
        <w:t>(b) A vote cast on this voting system is valid for a particular write-in candidate when the voter types on the touch screen the name of a write-in candidate in accordance with the ballot instructions.</w:t>
      </w:r>
    </w:p>
    <w:p w14:paraId="6E33BEB9" w14:textId="77777777" w:rsidR="004C6424" w:rsidRPr="00CC2AD1" w:rsidRDefault="004C6424" w:rsidP="004C6424">
      <w:pPr>
        <w:spacing w:line="260" w:lineRule="atLeast"/>
        <w:ind w:firstLine="360"/>
        <w:jc w:val="both"/>
        <w:rPr>
          <w:strike/>
          <w:sz w:val="20"/>
          <w:szCs w:val="20"/>
        </w:rPr>
      </w:pPr>
      <w:r w:rsidRPr="00CC2AD1">
        <w:rPr>
          <w:strike/>
          <w:sz w:val="20"/>
          <w:szCs w:val="20"/>
        </w:rPr>
        <w:t xml:space="preserve">(3) </w:t>
      </w:r>
      <w:r w:rsidRPr="00CC2AD1">
        <w:rPr>
          <w:b/>
          <w:strike/>
          <w:sz w:val="20"/>
          <w:szCs w:val="20"/>
        </w:rPr>
        <w:t>Optical scan voting system</w:t>
      </w:r>
      <w:r w:rsidRPr="00CC2AD1">
        <w:rPr>
          <w:strike/>
          <w:sz w:val="20"/>
          <w:szCs w:val="20"/>
        </w:rPr>
        <w:t>.</w:t>
      </w:r>
    </w:p>
    <w:p w14:paraId="5228BA17" w14:textId="77777777" w:rsidR="004C6424" w:rsidRPr="00CC2AD1" w:rsidRDefault="004C6424" w:rsidP="004C6424">
      <w:pPr>
        <w:spacing w:line="260" w:lineRule="atLeast"/>
        <w:ind w:firstLine="360"/>
        <w:jc w:val="both"/>
        <w:rPr>
          <w:strike/>
          <w:sz w:val="20"/>
          <w:szCs w:val="20"/>
        </w:rPr>
      </w:pPr>
      <w:r w:rsidRPr="00CC2AD1">
        <w:rPr>
          <w:strike/>
          <w:sz w:val="20"/>
          <w:szCs w:val="20"/>
        </w:rPr>
        <w:t>(a) A vote cast on this voting system is valid for a particular candidate, issue choice, or judicial retention choice when the voter marks the ballot as specified in the ballot instructions.</w:t>
      </w:r>
    </w:p>
    <w:p w14:paraId="7F77D9FF" w14:textId="77777777" w:rsidR="004C6424" w:rsidRPr="00CC2AD1" w:rsidRDefault="004C6424" w:rsidP="004C6424">
      <w:pPr>
        <w:spacing w:line="260" w:lineRule="atLeast"/>
        <w:ind w:firstLine="360"/>
        <w:jc w:val="both"/>
        <w:rPr>
          <w:strike/>
          <w:sz w:val="20"/>
          <w:szCs w:val="20"/>
        </w:rPr>
      </w:pPr>
      <w:r w:rsidRPr="00CC2AD1">
        <w:rPr>
          <w:strike/>
          <w:sz w:val="20"/>
          <w:szCs w:val="20"/>
        </w:rPr>
        <w:t>(b) A vote cast on this voting system is valid for a particular write-in candidate when the voter writes in the name of a candidate in the designated write-in space and fills in the oval or arrow next to the write-in candidate’s name.</w:t>
      </w:r>
    </w:p>
    <w:p w14:paraId="33F2FD14" w14:textId="77777777" w:rsidR="004C6424" w:rsidRPr="00CC2AD1" w:rsidRDefault="004C6424" w:rsidP="004C6424">
      <w:pPr>
        <w:spacing w:line="260" w:lineRule="atLeast"/>
        <w:ind w:firstLine="360"/>
        <w:jc w:val="both"/>
        <w:rPr>
          <w:strike/>
          <w:sz w:val="20"/>
          <w:szCs w:val="20"/>
        </w:rPr>
      </w:pPr>
      <w:r w:rsidRPr="00CC2AD1">
        <w:rPr>
          <w:strike/>
          <w:sz w:val="20"/>
          <w:szCs w:val="20"/>
        </w:rPr>
        <w:t xml:space="preserve">(4) </w:t>
      </w:r>
      <w:r w:rsidRPr="00CC2AD1">
        <w:rPr>
          <w:b/>
          <w:strike/>
          <w:sz w:val="20"/>
          <w:szCs w:val="20"/>
        </w:rPr>
        <w:t>Manual review and tabulation</w:t>
      </w:r>
      <w:r w:rsidRPr="00CC2AD1">
        <w:rPr>
          <w:strike/>
          <w:sz w:val="20"/>
          <w:szCs w:val="20"/>
        </w:rPr>
        <w:t>.</w:t>
      </w:r>
    </w:p>
    <w:p w14:paraId="0BE3C268" w14:textId="77777777" w:rsidR="004C6424" w:rsidRPr="00CC2AD1" w:rsidRDefault="004C6424" w:rsidP="004C6424">
      <w:pPr>
        <w:widowControl w:val="0"/>
        <w:overflowPunct w:val="0"/>
        <w:autoSpaceDE w:val="0"/>
        <w:autoSpaceDN w:val="0"/>
        <w:adjustRightInd w:val="0"/>
        <w:spacing w:line="260" w:lineRule="atLeast"/>
        <w:jc w:val="both"/>
        <w:textAlignment w:val="baseline"/>
        <w:rPr>
          <w:strike/>
          <w:noProof/>
          <w:color w:val="000000"/>
          <w:sz w:val="20"/>
          <w:szCs w:val="20"/>
          <w:u w:val="single"/>
        </w:rPr>
      </w:pPr>
      <w:r w:rsidRPr="00CC2AD1">
        <w:rPr>
          <w:strike/>
          <w:sz w:val="20"/>
          <w:szCs w:val="20"/>
        </w:rPr>
        <w:t xml:space="preserve">(a) The standards under this subsection apply in all instances where a contest is not marked as specified in the ballot instructions under subsection (2) or (3), and a manual review of the voter’s markings on a ballot is required to determine whether there is a clear indication that the voter has made a definite choice in a contest. </w:t>
      </w:r>
    </w:p>
    <w:p w14:paraId="3BA5D6F7" w14:textId="77777777" w:rsidR="004C6424" w:rsidRPr="00CC2AD1" w:rsidRDefault="004C6424" w:rsidP="004C6424">
      <w:pPr>
        <w:spacing w:line="260" w:lineRule="atLeast"/>
        <w:ind w:firstLine="360"/>
        <w:jc w:val="both"/>
        <w:rPr>
          <w:strike/>
          <w:sz w:val="20"/>
          <w:szCs w:val="20"/>
        </w:rPr>
      </w:pPr>
      <w:r w:rsidRPr="00CC2AD1">
        <w:rPr>
          <w:strike/>
          <w:sz w:val="20"/>
          <w:szCs w:val="20"/>
        </w:rPr>
        <w:t xml:space="preserve"> (b) The canvassing board must first look at the entire ballot for consistency. Then the provisions of paragraph (c) apply to determine whether the voter has made a definite choice in a contest, provided the voter has not marked any other contest on the ballot, or if the voter has marked other contests, he or she has marked them in the same manner, subject to the exceptions in subparagraphs 7., 10., and 15. The following are examples of valid votes after review for consistency:</w:t>
      </w:r>
    </w:p>
    <w:p w14:paraId="64348AA2" w14:textId="77777777" w:rsidR="004C6424" w:rsidRPr="00BB1391" w:rsidRDefault="004C6424" w:rsidP="004C6424">
      <w:pPr>
        <w:widowControl w:val="0"/>
        <w:spacing w:line="260" w:lineRule="atLeast"/>
        <w:ind w:firstLine="360"/>
        <w:jc w:val="both"/>
        <w:rPr>
          <w:b/>
          <w:strike/>
          <w:sz w:val="20"/>
          <w:szCs w:val="20"/>
        </w:rPr>
      </w:pPr>
    </w:p>
    <w:p w14:paraId="4EB75EF0" w14:textId="77777777" w:rsidR="004C6424" w:rsidRPr="00BB1391" w:rsidRDefault="004C6424" w:rsidP="004C6424">
      <w:pPr>
        <w:widowControl w:val="0"/>
        <w:spacing w:line="480" w:lineRule="auto"/>
        <w:ind w:left="-187" w:right="-360" w:firstLine="720"/>
        <w:jc w:val="both"/>
        <w:rPr>
          <w:i/>
          <w:strike/>
          <w:u w:val="single"/>
        </w:rPr>
      </w:pPr>
    </w:p>
    <w:p w14:paraId="6BC20137" w14:textId="77777777" w:rsidR="004C6424" w:rsidRPr="00BB1391" w:rsidRDefault="004C6424" w:rsidP="004C6424">
      <w:pPr>
        <w:widowControl w:val="0"/>
        <w:spacing w:line="260" w:lineRule="atLeast"/>
        <w:ind w:firstLine="360"/>
        <w:jc w:val="both"/>
        <w:rPr>
          <w:b/>
          <w:strike/>
          <w:sz w:val="20"/>
          <w:szCs w:val="20"/>
        </w:rPr>
      </w:pPr>
    </w:p>
    <w:p w14:paraId="0CB587A1" w14:textId="77777777" w:rsidR="004C6424" w:rsidRPr="00BB1391" w:rsidRDefault="004C6424" w:rsidP="004C6424">
      <w:pPr>
        <w:widowControl w:val="0"/>
        <w:spacing w:line="480" w:lineRule="auto"/>
        <w:ind w:right="-360"/>
        <w:jc w:val="both"/>
        <w:rPr>
          <w:i/>
          <w:strike/>
          <w:u w:val="single"/>
        </w:rPr>
      </w:pPr>
    </w:p>
    <w:p w14:paraId="2B20EDA7" w14:textId="77777777" w:rsidR="004C6424" w:rsidRPr="00BB1391" w:rsidRDefault="004C6424" w:rsidP="004C6424">
      <w:pPr>
        <w:widowControl w:val="0"/>
        <w:tabs>
          <w:tab w:val="left" w:pos="1440"/>
        </w:tabs>
        <w:overflowPunct w:val="0"/>
        <w:autoSpaceDE w:val="0"/>
        <w:autoSpaceDN w:val="0"/>
        <w:adjustRightInd w:val="0"/>
        <w:spacing w:line="312" w:lineRule="auto"/>
        <w:jc w:val="both"/>
        <w:textAlignment w:val="baseline"/>
        <w:rPr>
          <w:strike/>
          <w:color w:val="000000"/>
          <w:sz w:val="20"/>
          <w:szCs w:val="20"/>
        </w:rPr>
      </w:pPr>
    </w:p>
    <w:p w14:paraId="3DD0686C" w14:textId="77777777" w:rsidR="00F73A92" w:rsidRDefault="00F73A92"/>
    <w:sectPr w:rsidR="00F73A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9B48" w14:textId="77777777" w:rsidR="004C6424" w:rsidRDefault="004C6424" w:rsidP="004C6424">
      <w:r>
        <w:separator/>
      </w:r>
    </w:p>
  </w:endnote>
  <w:endnote w:type="continuationSeparator" w:id="0">
    <w:p w14:paraId="62F36885" w14:textId="77777777" w:rsidR="004C6424" w:rsidRDefault="004C6424" w:rsidP="004C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DE70" w14:textId="77777777" w:rsidR="004C6424" w:rsidRDefault="004C6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16CA" w14:textId="77777777" w:rsidR="004C6424" w:rsidRDefault="004C6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B7A6" w14:textId="77777777" w:rsidR="004C6424" w:rsidRDefault="004C6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27F3" w14:textId="77777777" w:rsidR="004C6424" w:rsidRDefault="004C6424" w:rsidP="004C6424">
      <w:r>
        <w:separator/>
      </w:r>
    </w:p>
  </w:footnote>
  <w:footnote w:type="continuationSeparator" w:id="0">
    <w:p w14:paraId="41E88540" w14:textId="77777777" w:rsidR="004C6424" w:rsidRDefault="004C6424" w:rsidP="004C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0224" w14:textId="77777777" w:rsidR="004C6424" w:rsidRDefault="004C6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470653"/>
      <w:docPartObj>
        <w:docPartGallery w:val="Watermarks"/>
        <w:docPartUnique/>
      </w:docPartObj>
    </w:sdtPr>
    <w:sdtEndPr/>
    <w:sdtContent>
      <w:p w14:paraId="593F9957" w14:textId="4B981AB0" w:rsidR="004C6424" w:rsidRDefault="00A63B03">
        <w:pPr>
          <w:pStyle w:val="Header"/>
        </w:pPr>
        <w:r>
          <w:rPr>
            <w:noProof/>
          </w:rPr>
          <w:pict w14:anchorId="190E3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372B" w14:textId="77777777" w:rsidR="004C6424" w:rsidRDefault="004C6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24"/>
    <w:rsid w:val="000A5CD5"/>
    <w:rsid w:val="004C6424"/>
    <w:rsid w:val="00A63B03"/>
    <w:rsid w:val="00B42967"/>
    <w:rsid w:val="00F7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418D3A"/>
  <w15:chartTrackingRefBased/>
  <w15:docId w15:val="{574B1581-A104-4E4D-B025-E35C9E9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2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6424"/>
    <w:rPr>
      <w:color w:val="0563C1"/>
      <w:u w:val="single"/>
    </w:rPr>
  </w:style>
  <w:style w:type="paragraph" w:styleId="Header">
    <w:name w:val="header"/>
    <w:basedOn w:val="Normal"/>
    <w:link w:val="HeaderChar"/>
    <w:uiPriority w:val="99"/>
    <w:unhideWhenUsed/>
    <w:rsid w:val="004C6424"/>
    <w:pPr>
      <w:tabs>
        <w:tab w:val="center" w:pos="4680"/>
        <w:tab w:val="right" w:pos="9360"/>
      </w:tabs>
    </w:pPr>
  </w:style>
  <w:style w:type="character" w:customStyle="1" w:styleId="HeaderChar">
    <w:name w:val="Header Char"/>
    <w:basedOn w:val="DefaultParagraphFont"/>
    <w:link w:val="Header"/>
    <w:uiPriority w:val="99"/>
    <w:rsid w:val="004C642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C6424"/>
    <w:pPr>
      <w:tabs>
        <w:tab w:val="center" w:pos="4680"/>
        <w:tab w:val="right" w:pos="9360"/>
      </w:tabs>
    </w:pPr>
  </w:style>
  <w:style w:type="character" w:customStyle="1" w:styleId="FooterChar">
    <w:name w:val="Footer Char"/>
    <w:basedOn w:val="DefaultParagraphFont"/>
    <w:link w:val="Footer"/>
    <w:uiPriority w:val="99"/>
    <w:rsid w:val="004C642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s.fl.gov/elec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93FAD-4E95-4701-90C9-90A6049A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McNalis, Genevieve</dc:creator>
  <cp:keywords/>
  <dc:description/>
  <cp:lastModifiedBy>McNalis, Genevieve</cp:lastModifiedBy>
  <cp:revision>3</cp:revision>
  <dcterms:created xsi:type="dcterms:W3CDTF">2023-11-30T18:37:00Z</dcterms:created>
  <dcterms:modified xsi:type="dcterms:W3CDTF">2023-11-30T19:24:00Z</dcterms:modified>
</cp:coreProperties>
</file>