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2B38D" w14:textId="77777777" w:rsidR="0056224E" w:rsidRPr="0056224E" w:rsidRDefault="0056224E" w:rsidP="005622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r w:rsidRPr="0056224E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Notice of Change/Withdrawal</w:t>
      </w:r>
    </w:p>
    <w:p w14:paraId="50FED21B" w14:textId="77777777" w:rsidR="0056224E" w:rsidRPr="0056224E" w:rsidRDefault="0056224E" w:rsidP="005622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CF4441" w14:textId="77777777" w:rsidR="0056224E" w:rsidRPr="0056224E" w:rsidRDefault="0056224E" w:rsidP="00562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14:ligatures w14:val="none"/>
        </w:rPr>
      </w:pPr>
      <w:hyperlink r:id="rId4" w:tgtFrame="department" w:history="1">
        <w:r w:rsidRPr="0056224E">
          <w:rPr>
            <w:rFonts w:ascii="Times New Roman" w:eastAsia="Times New Roman" w:hAnsi="Times New Roman" w:cs="Times New Roman"/>
            <w:b/>
            <w:bCs/>
            <w:color w:val="2F3586"/>
            <w:kern w:val="0"/>
            <w:sz w:val="17"/>
            <w:szCs w:val="17"/>
            <w:u w:val="single"/>
            <w14:ligatures w14:val="none"/>
          </w:rPr>
          <w:t>DEPARTMENT OF STATE</w:t>
        </w:r>
      </w:hyperlink>
      <w:r w:rsidRPr="0056224E"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14:ligatures w14:val="none"/>
        </w:rPr>
        <w:br/>
      </w:r>
      <w:hyperlink r:id="rId5" w:tgtFrame="organization" w:history="1">
        <w:r w:rsidRPr="0056224E">
          <w:rPr>
            <w:rFonts w:ascii="Times New Roman" w:eastAsia="Times New Roman" w:hAnsi="Times New Roman" w:cs="Times New Roman"/>
            <w:b/>
            <w:bCs/>
            <w:color w:val="2F3586"/>
            <w:kern w:val="0"/>
            <w:sz w:val="17"/>
            <w:szCs w:val="17"/>
            <w:u w:val="single"/>
            <w14:ligatures w14:val="none"/>
          </w:rPr>
          <w:t>Division of Elections</w:t>
        </w:r>
      </w:hyperlink>
    </w:p>
    <w:p w14:paraId="5C7A586A" w14:textId="77777777" w:rsidR="0056224E" w:rsidRPr="0056224E" w:rsidRDefault="0056224E" w:rsidP="0056224E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56224E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>RULE NO.: RULE TITLE:</w:t>
      </w:r>
      <w:r w:rsidRPr="0056224E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br/>
      </w:r>
      <w:hyperlink r:id="rId6" w:tgtFrame="ruleNo" w:history="1">
        <w:r w:rsidRPr="0056224E">
          <w:rPr>
            <w:rFonts w:ascii="Times New Roman" w:eastAsia="Times New Roman" w:hAnsi="Times New Roman" w:cs="Times New Roman"/>
            <w:color w:val="2F3586"/>
            <w:kern w:val="0"/>
            <w:sz w:val="17"/>
            <w:szCs w:val="17"/>
            <w:u w:val="single"/>
            <w14:ligatures w14:val="none"/>
          </w:rPr>
          <w:t>1S-2.048</w:t>
        </w:r>
      </w:hyperlink>
      <w:r w:rsidRPr="0056224E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>: State and Federal-Designated NVRA Voter Registration Agencies - Responsibilities</w:t>
      </w:r>
    </w:p>
    <w:p w14:paraId="5C9EBC70" w14:textId="77777777" w:rsidR="0056224E" w:rsidRPr="0056224E" w:rsidRDefault="0056224E" w:rsidP="005622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56224E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>NOTICE OF CHANGE</w:t>
      </w:r>
    </w:p>
    <w:p w14:paraId="50AFFE09" w14:textId="77777777" w:rsidR="0056224E" w:rsidRPr="0056224E" w:rsidRDefault="0056224E" w:rsidP="0056224E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56224E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Notice is hereby given that the following changes have been made to the proposed rule in accordance with subparagraph 120.54(3)(d)1., F.S., published in Vol. 50 No. 92, May 9, </w:t>
      </w:r>
      <w:proofErr w:type="gramStart"/>
      <w:r w:rsidRPr="0056224E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>2024</w:t>
      </w:r>
      <w:proofErr w:type="gramEnd"/>
      <w:r w:rsidRPr="0056224E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issue of the Florida Administrative Register.</w:t>
      </w:r>
    </w:p>
    <w:p w14:paraId="66826710" w14:textId="77777777" w:rsidR="0056224E" w:rsidRDefault="0056224E" w:rsidP="0056224E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</w:p>
    <w:p w14:paraId="0AB187F3" w14:textId="69E3E2D8" w:rsidR="0056224E" w:rsidRPr="0056224E" w:rsidRDefault="0056224E" w:rsidP="0056224E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56224E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>(5) clarifying that persons be offered the opportunity to update their voter registration in addition to registering to vote.</w:t>
      </w:r>
    </w:p>
    <w:p w14:paraId="58AFC34A" w14:textId="77777777" w:rsidR="0056224E" w:rsidRDefault="0056224E" w:rsidP="0056224E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</w:p>
    <w:p w14:paraId="57B91F3C" w14:textId="49AEF9BE" w:rsidR="0056224E" w:rsidRPr="0056224E" w:rsidRDefault="0056224E" w:rsidP="0056224E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56224E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>(5)(a) clarifying that making the online voter registration system available includes </w:t>
      </w:r>
      <w:r w:rsidRPr="0056224E">
        <w:rPr>
          <w:rFonts w:ascii="Times New Roman" w:eastAsia="Times New Roman" w:hAnsi="Times New Roman" w:cs="Times New Roman"/>
          <w:color w:val="000000"/>
          <w:spacing w:val="-1"/>
          <w:kern w:val="0"/>
          <w:sz w:val="20"/>
          <w:szCs w:val="20"/>
          <w14:ligatures w14:val="none"/>
        </w:rPr>
        <w:t>printing the pre-populated form if necessary.</w:t>
      </w:r>
    </w:p>
    <w:p w14:paraId="04BF2326" w14:textId="77777777" w:rsidR="0056224E" w:rsidRDefault="0056224E" w:rsidP="0056224E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/>
          <w:spacing w:val="-1"/>
          <w:kern w:val="0"/>
          <w:sz w:val="20"/>
          <w:szCs w:val="20"/>
          <w14:ligatures w14:val="none"/>
        </w:rPr>
      </w:pPr>
    </w:p>
    <w:p w14:paraId="73F03635" w14:textId="34D905C5" w:rsidR="0056224E" w:rsidRPr="0056224E" w:rsidRDefault="0056224E" w:rsidP="0056224E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56224E">
        <w:rPr>
          <w:rFonts w:ascii="Times New Roman" w:eastAsia="Times New Roman" w:hAnsi="Times New Roman" w:cs="Times New Roman"/>
          <w:color w:val="000000"/>
          <w:spacing w:val="-1"/>
          <w:kern w:val="0"/>
          <w:sz w:val="20"/>
          <w:szCs w:val="20"/>
          <w14:ligatures w14:val="none"/>
        </w:rPr>
        <w:t>Removed separate section for public library responsibilities and addressed them throughout the rule instead.</w:t>
      </w:r>
    </w:p>
    <w:p w14:paraId="1D971FE3" w14:textId="77777777" w:rsidR="0056224E" w:rsidRDefault="0056224E" w:rsidP="0056224E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/>
          <w:spacing w:val="-1"/>
          <w:kern w:val="0"/>
          <w:sz w:val="20"/>
          <w:szCs w:val="20"/>
          <w14:ligatures w14:val="none"/>
        </w:rPr>
      </w:pPr>
    </w:p>
    <w:p w14:paraId="615C814B" w14:textId="33B40E58" w:rsidR="0056224E" w:rsidRPr="0056224E" w:rsidRDefault="0056224E" w:rsidP="0056224E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56224E">
        <w:rPr>
          <w:rFonts w:ascii="Times New Roman" w:eastAsia="Times New Roman" w:hAnsi="Times New Roman" w:cs="Times New Roman"/>
          <w:color w:val="000000"/>
          <w:spacing w:val="-1"/>
          <w:kern w:val="0"/>
          <w:sz w:val="20"/>
          <w:szCs w:val="20"/>
          <w14:ligatures w14:val="none"/>
        </w:rPr>
        <w:t>Added phone number to DS-DE 77.</w:t>
      </w:r>
    </w:p>
    <w:p w14:paraId="7915966B" w14:textId="0B02B97D" w:rsidR="0056224E" w:rsidRPr="0056224E" w:rsidRDefault="0056224E" w:rsidP="0056224E"/>
    <w:sectPr w:rsidR="0056224E" w:rsidRPr="00562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D8"/>
    <w:rsid w:val="00256B2E"/>
    <w:rsid w:val="002737BD"/>
    <w:rsid w:val="0028712C"/>
    <w:rsid w:val="002B49D8"/>
    <w:rsid w:val="004D568F"/>
    <w:rsid w:val="005514B5"/>
    <w:rsid w:val="0056224E"/>
    <w:rsid w:val="005914BA"/>
    <w:rsid w:val="00DF5B2E"/>
    <w:rsid w:val="00FC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9A156"/>
  <w15:docId w15:val="{375A5A33-A1A4-4465-A95C-6ECD9F8C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9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9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9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9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9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4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4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4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4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49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4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49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62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46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2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1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5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2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rules.org/gateway/ruleNo.asp?id=1S-2.048" TargetMode="External"/><Relationship Id="rId5" Type="http://schemas.openxmlformats.org/officeDocument/2006/relationships/hyperlink" Target="https://www.flrules.org/gateway/organization.asp?id=16" TargetMode="External"/><Relationship Id="rId4" Type="http://schemas.openxmlformats.org/officeDocument/2006/relationships/hyperlink" Target="https://www.flrules.org/gateway/department.asp?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Ashley E.</dc:creator>
  <cp:keywords/>
  <dc:description/>
  <cp:lastModifiedBy>Davis, Ashley E.</cp:lastModifiedBy>
  <cp:revision>2</cp:revision>
  <dcterms:created xsi:type="dcterms:W3CDTF">2024-06-13T12:32:00Z</dcterms:created>
  <dcterms:modified xsi:type="dcterms:W3CDTF">2024-06-13T12:32:00Z</dcterms:modified>
</cp:coreProperties>
</file>